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170" w:rsidRDefault="00DC6D3F">
      <w:pPr>
        <w:ind w:left="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648899" cy="1213103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899" cy="121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170" w:rsidRDefault="00DC6D3F">
      <w:pPr>
        <w:pStyle w:val="Heading1"/>
      </w:pPr>
      <w:r>
        <w:rPr>
          <w:color w:val="666666"/>
        </w:rPr>
        <w:t>Procedure</w:t>
      </w:r>
      <w:r>
        <w:rPr>
          <w:color w:val="666666"/>
          <w:spacing w:val="60"/>
        </w:rPr>
        <w:t xml:space="preserve"> </w:t>
      </w:r>
      <w:r>
        <w:rPr>
          <w:color w:val="666666"/>
        </w:rPr>
        <w:t>for</w:t>
      </w:r>
      <w:r>
        <w:rPr>
          <w:color w:val="666666"/>
          <w:spacing w:val="57"/>
        </w:rPr>
        <w:t xml:space="preserve"> </w:t>
      </w:r>
      <w:r>
        <w:rPr>
          <w:color w:val="666666"/>
        </w:rPr>
        <w:t>Service</w:t>
      </w:r>
      <w:r>
        <w:rPr>
          <w:color w:val="666666"/>
          <w:spacing w:val="61"/>
        </w:rPr>
        <w:t xml:space="preserve"> </w:t>
      </w:r>
      <w:r>
        <w:rPr>
          <w:color w:val="666666"/>
        </w:rPr>
        <w:t>Providers</w:t>
      </w:r>
      <w:r>
        <w:rPr>
          <w:color w:val="666666"/>
          <w:spacing w:val="59"/>
        </w:rPr>
        <w:t xml:space="preserve"> </w:t>
      </w:r>
      <w:r>
        <w:rPr>
          <w:color w:val="666666"/>
        </w:rPr>
        <w:t>with</w:t>
      </w:r>
      <w:r>
        <w:rPr>
          <w:color w:val="666666"/>
          <w:spacing w:val="62"/>
        </w:rPr>
        <w:t xml:space="preserve"> </w:t>
      </w:r>
      <w:r>
        <w:rPr>
          <w:color w:val="666666"/>
        </w:rPr>
        <w:t>Access</w:t>
      </w:r>
      <w:r>
        <w:rPr>
          <w:color w:val="666666"/>
          <w:spacing w:val="59"/>
        </w:rPr>
        <w:t xml:space="preserve"> </w:t>
      </w:r>
      <w:r>
        <w:rPr>
          <w:color w:val="666666"/>
        </w:rPr>
        <w:t>to</w:t>
      </w:r>
      <w:r>
        <w:rPr>
          <w:color w:val="666666"/>
          <w:spacing w:val="55"/>
        </w:rPr>
        <w:t xml:space="preserve"> </w:t>
      </w:r>
      <w:r>
        <w:rPr>
          <w:color w:val="666666"/>
        </w:rPr>
        <w:t>Cardholder</w:t>
      </w:r>
      <w:r>
        <w:rPr>
          <w:color w:val="666666"/>
          <w:spacing w:val="57"/>
        </w:rPr>
        <w:t xml:space="preserve"> </w:t>
      </w:r>
      <w:r>
        <w:rPr>
          <w:color w:val="666666"/>
          <w:spacing w:val="-4"/>
        </w:rPr>
        <w:t>Data</w:t>
      </w:r>
    </w:p>
    <w:p w:rsidR="00824170" w:rsidRDefault="00DC6D3F">
      <w:pPr>
        <w:spacing w:before="244"/>
        <w:ind w:left="720"/>
      </w:pPr>
      <w:r>
        <w:rPr>
          <w:rFonts w:ascii="Century Gothic"/>
          <w:b/>
          <w:color w:val="666666"/>
          <w:sz w:val="24"/>
        </w:rPr>
        <w:t>Area</w:t>
      </w:r>
      <w:r>
        <w:rPr>
          <w:rFonts w:ascii="Century Gothic"/>
          <w:b/>
          <w:sz w:val="24"/>
        </w:rPr>
        <w:t>:</w:t>
      </w:r>
      <w:r>
        <w:rPr>
          <w:rFonts w:ascii="Century Gothic"/>
          <w:b/>
          <w:spacing w:val="9"/>
          <w:sz w:val="24"/>
        </w:rPr>
        <w:t xml:space="preserve"> </w:t>
      </w:r>
      <w:r>
        <w:t xml:space="preserve">Credit </w:t>
      </w:r>
      <w:r>
        <w:rPr>
          <w:spacing w:val="-4"/>
        </w:rPr>
        <w:t>Cards</w:t>
      </w:r>
    </w:p>
    <w:p w:rsidR="00824170" w:rsidRDefault="00DC6D3F">
      <w:pPr>
        <w:pStyle w:val="BodyText"/>
        <w:spacing w:before="38"/>
        <w:ind w:left="720"/>
      </w:pPr>
      <w:r>
        <w:rPr>
          <w:rFonts w:ascii="Century Gothic"/>
          <w:b/>
          <w:color w:val="666666"/>
          <w:sz w:val="24"/>
        </w:rPr>
        <w:t>Purpose</w:t>
      </w:r>
      <w:r>
        <w:rPr>
          <w:rFonts w:ascii="Century Gothic"/>
          <w:b/>
          <w:sz w:val="24"/>
        </w:rPr>
        <w:t>:</w:t>
      </w:r>
      <w:r>
        <w:rPr>
          <w:rFonts w:ascii="Century Gothic"/>
          <w:b/>
          <w:spacing w:val="11"/>
          <w:sz w:val="24"/>
        </w:rPr>
        <w:t xml:space="preserve"> </w:t>
      </w:r>
      <w:r>
        <w:t>Safeguard</w:t>
      </w:r>
      <w:r>
        <w:rPr>
          <w:spacing w:val="5"/>
        </w:rPr>
        <w:t xml:space="preserve"> </w:t>
      </w:r>
      <w:r>
        <w:t>Cardholder</w:t>
      </w:r>
      <w:r>
        <w:rPr>
          <w:spacing w:val="2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UWF</w:t>
      </w:r>
      <w:r>
        <w:rPr>
          <w:spacing w:val="6"/>
        </w:rPr>
        <w:t xml:space="preserve"> </w:t>
      </w:r>
      <w:r>
        <w:t>Credit</w:t>
      </w:r>
      <w:r>
        <w:rPr>
          <w:spacing w:val="2"/>
        </w:rPr>
        <w:t xml:space="preserve"> </w:t>
      </w:r>
      <w:r>
        <w:t>Card</w:t>
      </w:r>
      <w:r>
        <w:rPr>
          <w:spacing w:val="5"/>
        </w:rPr>
        <w:t xml:space="preserve"> </w:t>
      </w:r>
      <w:r>
        <w:rPr>
          <w:spacing w:val="-2"/>
        </w:rPr>
        <w:t>Customers</w:t>
      </w:r>
    </w:p>
    <w:p w:rsidR="00824170" w:rsidRDefault="00DC6D3F">
      <w:pPr>
        <w:pStyle w:val="BodyText"/>
        <w:spacing w:before="37"/>
        <w:ind w:left="720"/>
      </w:pPr>
      <w:r>
        <w:rPr>
          <w:rFonts w:ascii="Century Gothic"/>
          <w:b/>
          <w:color w:val="666666"/>
          <w:sz w:val="24"/>
        </w:rPr>
        <w:t>Reference</w:t>
      </w:r>
      <w:r>
        <w:rPr>
          <w:rFonts w:ascii="Century Gothic"/>
          <w:b/>
          <w:sz w:val="24"/>
        </w:rPr>
        <w:t>:</w:t>
      </w:r>
      <w:r>
        <w:rPr>
          <w:rFonts w:ascii="Century Gothic"/>
          <w:b/>
          <w:spacing w:val="4"/>
          <w:sz w:val="2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Card</w:t>
      </w:r>
      <w:r>
        <w:rPr>
          <w:spacing w:val="-1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(PCI)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Council,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rPr>
          <w:spacing w:val="-4"/>
        </w:rPr>
        <w:t>12.8</w:t>
      </w:r>
    </w:p>
    <w:p w:rsidR="00824170" w:rsidRDefault="00824170">
      <w:pPr>
        <w:pStyle w:val="BodyText"/>
        <w:spacing w:before="89"/>
      </w:pPr>
    </w:p>
    <w:p w:rsidR="00824170" w:rsidRDefault="00DC6D3F">
      <w:pPr>
        <w:pStyle w:val="Heading2"/>
      </w:pPr>
      <w:r>
        <w:rPr>
          <w:color w:val="004C97"/>
          <w:spacing w:val="2"/>
        </w:rPr>
        <w:t>Procedures/</w:t>
      </w:r>
      <w:r>
        <w:rPr>
          <w:color w:val="004C97"/>
          <w:spacing w:val="57"/>
        </w:rPr>
        <w:t xml:space="preserve"> </w:t>
      </w:r>
      <w:r>
        <w:rPr>
          <w:color w:val="004C97"/>
          <w:spacing w:val="-2"/>
        </w:rPr>
        <w:t>Requirements:</w:t>
      </w:r>
    </w:p>
    <w:p w:rsidR="00824170" w:rsidRDefault="00DC6D3F">
      <w:pPr>
        <w:pStyle w:val="ListParagraph"/>
        <w:numPr>
          <w:ilvl w:val="0"/>
          <w:numId w:val="1"/>
        </w:numPr>
        <w:tabs>
          <w:tab w:val="left" w:pos="1440"/>
        </w:tabs>
        <w:spacing w:before="146" w:line="266" w:lineRule="auto"/>
        <w:ind w:right="1076"/>
      </w:pPr>
      <w:r>
        <w:t>These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West Florida customer cardholder data:</w:t>
      </w:r>
    </w:p>
    <w:p w:rsidR="00824170" w:rsidRDefault="00DC6D3F">
      <w:pPr>
        <w:pStyle w:val="ListParagraph"/>
        <w:numPr>
          <w:ilvl w:val="0"/>
          <w:numId w:val="1"/>
        </w:numPr>
        <w:tabs>
          <w:tab w:val="left" w:pos="1440"/>
        </w:tabs>
        <w:spacing w:before="9" w:line="266" w:lineRule="auto"/>
        <w:ind w:right="754"/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perform 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establishing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formal</w:t>
      </w:r>
      <w:r>
        <w:rPr>
          <w:spacing w:val="-8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service provider:</w:t>
      </w:r>
    </w:p>
    <w:p w:rsidR="00824170" w:rsidRDefault="00DC6D3F">
      <w:pPr>
        <w:pStyle w:val="ListParagraph"/>
        <w:numPr>
          <w:ilvl w:val="1"/>
          <w:numId w:val="1"/>
        </w:numPr>
        <w:tabs>
          <w:tab w:val="left" w:pos="2158"/>
          <w:tab w:val="left" w:pos="2160"/>
        </w:tabs>
        <w:spacing w:before="12" w:line="268" w:lineRule="auto"/>
        <w:ind w:right="406" w:hanging="361"/>
      </w:pPr>
      <w:r>
        <w:rPr>
          <w:color w:val="0563C1"/>
          <w:u w:val="single" w:color="0563C1"/>
        </w:rPr>
        <w:t>Requests</w:t>
      </w:r>
      <w:r>
        <w:rPr>
          <w:color w:val="0563C1"/>
          <w:spacing w:val="-1"/>
          <w:u w:val="single" w:color="0563C1"/>
        </w:rPr>
        <w:t xml:space="preserve"> </w:t>
      </w:r>
      <w:r>
        <w:rPr>
          <w:color w:val="0563C1"/>
          <w:u w:val="single" w:color="0563C1"/>
        </w:rPr>
        <w:t>for</w:t>
      </w:r>
      <w:r>
        <w:rPr>
          <w:color w:val="0563C1"/>
          <w:spacing w:val="-4"/>
          <w:u w:val="single" w:color="0563C1"/>
        </w:rPr>
        <w:t xml:space="preserve"> </w:t>
      </w:r>
      <w:r>
        <w:rPr>
          <w:color w:val="0563C1"/>
          <w:u w:val="single" w:color="0563C1"/>
        </w:rPr>
        <w:t>Authorization</w:t>
      </w:r>
      <w:r>
        <w:rPr>
          <w:color w:val="0563C1"/>
          <w:spacing w:val="-2"/>
          <w:u w:val="single" w:color="0563C1"/>
        </w:rPr>
        <w:t xml:space="preserve"> </w:t>
      </w:r>
      <w:r>
        <w:rPr>
          <w:color w:val="0563C1"/>
          <w:u w:val="single" w:color="0563C1"/>
        </w:rPr>
        <w:t>(to</w:t>
      </w:r>
      <w:r>
        <w:rPr>
          <w:color w:val="0563C1"/>
          <w:spacing w:val="-1"/>
          <w:u w:val="single" w:color="0563C1"/>
        </w:rPr>
        <w:t xml:space="preserve"> </w:t>
      </w:r>
      <w:r>
        <w:rPr>
          <w:color w:val="0563C1"/>
          <w:u w:val="single" w:color="0563C1"/>
        </w:rPr>
        <w:t>accept</w:t>
      </w:r>
      <w:r>
        <w:rPr>
          <w:color w:val="0563C1"/>
          <w:spacing w:val="-4"/>
          <w:u w:val="single" w:color="0563C1"/>
        </w:rPr>
        <w:t xml:space="preserve"> </w:t>
      </w:r>
      <w:r>
        <w:rPr>
          <w:color w:val="0563C1"/>
          <w:u w:val="single" w:color="0563C1"/>
        </w:rPr>
        <w:t>credit</w:t>
      </w:r>
      <w:r>
        <w:rPr>
          <w:color w:val="0563C1"/>
          <w:spacing w:val="-4"/>
          <w:u w:val="single" w:color="0563C1"/>
        </w:rPr>
        <w:t xml:space="preserve"> </w:t>
      </w:r>
      <w:r>
        <w:rPr>
          <w:color w:val="0563C1"/>
          <w:u w:val="single" w:color="0563C1"/>
        </w:rPr>
        <w:t>card</w:t>
      </w:r>
      <w:r>
        <w:rPr>
          <w:color w:val="0563C1"/>
          <w:spacing w:val="-1"/>
          <w:u w:val="single" w:color="0563C1"/>
        </w:rPr>
        <w:t xml:space="preserve"> </w:t>
      </w:r>
      <w:r>
        <w:rPr>
          <w:color w:val="0563C1"/>
          <w:u w:val="single" w:color="0563C1"/>
        </w:rPr>
        <w:t>transactions)</w:t>
      </w:r>
      <w:r>
        <w:rPr>
          <w:color w:val="0563C1"/>
          <w:spacing w:val="-4"/>
          <w:u w:val="single" w:color="0563C1"/>
        </w:rPr>
        <w:t xml:space="preserve"> </w:t>
      </w:r>
      <w:r>
        <w:rPr>
          <w:color w:val="0563C1"/>
          <w:u w:val="single" w:color="0563C1"/>
        </w:rPr>
        <w:t>Forms</w:t>
      </w:r>
      <w:r>
        <w:rPr>
          <w:color w:val="0563C1"/>
          <w:spacing w:val="-4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departments will be reviewed by a delegate of the UWF PCI DSS Team from ITS, Financial Services or Compliance and Ethics.</w:t>
      </w:r>
      <w:r>
        <w:rPr>
          <w:spacing w:val="40"/>
        </w:rPr>
        <w:t xml:space="preserve"> </w:t>
      </w:r>
      <w:r>
        <w:t>A determination will be made as</w:t>
      </w:r>
      <w:r>
        <w:t xml:space="preserve"> to the services required, and whether those services will require the use of a service provider.</w:t>
      </w:r>
    </w:p>
    <w:p w:rsidR="00824170" w:rsidRDefault="00DC6D3F">
      <w:pPr>
        <w:pStyle w:val="ListParagraph"/>
        <w:numPr>
          <w:ilvl w:val="1"/>
          <w:numId w:val="1"/>
        </w:numPr>
        <w:tabs>
          <w:tab w:val="left" w:pos="2159"/>
        </w:tabs>
        <w:spacing w:before="11" w:line="266" w:lineRule="auto"/>
        <w:ind w:left="2159" w:right="734"/>
      </w:pP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contractors’ proposals will be reviewed to evaluate the risks of loss of credit cardholder data.</w:t>
      </w:r>
      <w:r>
        <w:rPr>
          <w:spacing w:val="40"/>
        </w:rPr>
        <w:t xml:space="preserve"> </w:t>
      </w:r>
      <w:r>
        <w:t>This evaluation will be a major factor in the award of such contracts.</w:t>
      </w:r>
    </w:p>
    <w:p w:rsidR="00824170" w:rsidRDefault="00DC6D3F">
      <w:pPr>
        <w:pStyle w:val="ListParagraph"/>
        <w:numPr>
          <w:ilvl w:val="0"/>
          <w:numId w:val="1"/>
        </w:numPr>
        <w:tabs>
          <w:tab w:val="left" w:pos="1439"/>
        </w:tabs>
        <w:spacing w:before="7"/>
        <w:ind w:left="1439" w:hanging="359"/>
      </w:pP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cardholder</w:t>
      </w:r>
      <w:r>
        <w:rPr>
          <w:spacing w:val="-5"/>
        </w:rPr>
        <w:t xml:space="preserve"> </w:t>
      </w:r>
      <w:r>
        <w:rPr>
          <w:spacing w:val="-2"/>
        </w:rPr>
        <w:t>data.</w:t>
      </w:r>
    </w:p>
    <w:p w:rsidR="00824170" w:rsidRDefault="00DC6D3F">
      <w:pPr>
        <w:pStyle w:val="ListParagraph"/>
        <w:numPr>
          <w:ilvl w:val="0"/>
          <w:numId w:val="1"/>
        </w:numPr>
        <w:tabs>
          <w:tab w:val="left" w:pos="1439"/>
        </w:tabs>
        <w:spacing w:before="34" w:line="273" w:lineRule="auto"/>
        <w:ind w:left="1439" w:right="353"/>
      </w:pPr>
      <w:r>
        <w:t>Contracts with service providers must</w:t>
      </w:r>
      <w:r>
        <w:rPr>
          <w:spacing w:val="-1"/>
        </w:rPr>
        <w:t xml:space="preserve"> </w:t>
      </w:r>
      <w:r>
        <w:t>contain a written acknowledgment that “the service providers are responsible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cardholder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providers</w:t>
      </w:r>
      <w:r>
        <w:rPr>
          <w:spacing w:val="-1"/>
        </w:rPr>
        <w:t xml:space="preserve"> </w:t>
      </w:r>
      <w:r>
        <w:t>possess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store,</w:t>
      </w:r>
      <w:r>
        <w:rPr>
          <w:spacing w:val="-4"/>
        </w:rPr>
        <w:t xml:space="preserve"> </w:t>
      </w:r>
      <w:r>
        <w:t>process,</w:t>
      </w:r>
      <w:r>
        <w:rPr>
          <w:spacing w:val="-4"/>
        </w:rPr>
        <w:t xml:space="preserve"> </w:t>
      </w:r>
      <w:r>
        <w:t>or transmit on behalf of the University, or to the extent that they could impact the security of the University’s cardholder data environment.”</w:t>
      </w:r>
    </w:p>
    <w:p w:rsidR="00824170" w:rsidRDefault="00DC6D3F">
      <w:pPr>
        <w:pStyle w:val="ListParagraph"/>
        <w:numPr>
          <w:ilvl w:val="0"/>
          <w:numId w:val="1"/>
        </w:numPr>
        <w:tabs>
          <w:tab w:val="left" w:pos="1440"/>
        </w:tabs>
        <w:spacing w:line="271" w:lineRule="auto"/>
        <w:ind w:right="730"/>
      </w:pPr>
      <w:r>
        <w:t>Service</w:t>
      </w:r>
      <w:r>
        <w:rPr>
          <w:spacing w:val="-2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maintaining,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demonstrating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 Card Industry Data Security Standards (PCI DSS).</w:t>
      </w:r>
    </w:p>
    <w:p w:rsidR="0060618A" w:rsidRPr="0060618A" w:rsidRDefault="00DC6D3F" w:rsidP="0060618A">
      <w:pPr>
        <w:pStyle w:val="ListParagraph"/>
        <w:numPr>
          <w:ilvl w:val="0"/>
          <w:numId w:val="1"/>
        </w:numPr>
        <w:tabs>
          <w:tab w:val="left" w:pos="1440"/>
        </w:tabs>
        <w:spacing w:line="266" w:lineRule="auto"/>
        <w:ind w:right="449"/>
        <w:rPr>
          <w:color w:val="666666"/>
          <w:w w:val="105"/>
        </w:rPr>
      </w:pP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provider’s</w:t>
      </w:r>
      <w:r>
        <w:rPr>
          <w:spacing w:val="-1"/>
        </w:rPr>
        <w:t xml:space="preserve"> </w:t>
      </w:r>
      <w:r>
        <w:t>PCI</w:t>
      </w:r>
      <w:r>
        <w:rPr>
          <w:spacing w:val="-4"/>
        </w:rPr>
        <w:t xml:space="preserve"> </w:t>
      </w:r>
      <w:r>
        <w:t>DSS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 award of any contract.</w:t>
      </w:r>
    </w:p>
    <w:p w:rsidR="0060618A" w:rsidRDefault="0060618A" w:rsidP="0060618A">
      <w:pPr>
        <w:tabs>
          <w:tab w:val="left" w:pos="1440"/>
        </w:tabs>
        <w:spacing w:line="266" w:lineRule="auto"/>
        <w:ind w:right="449"/>
        <w:jc w:val="right"/>
        <w:rPr>
          <w:color w:val="666666"/>
          <w:w w:val="105"/>
        </w:rPr>
      </w:pPr>
      <w:r w:rsidRPr="0060618A">
        <w:rPr>
          <w:color w:val="666666"/>
          <w:w w:val="105"/>
        </w:rPr>
        <w:t xml:space="preserve"> </w:t>
      </w:r>
    </w:p>
    <w:p w:rsidR="00824170" w:rsidRDefault="00DC6D3F" w:rsidP="0060618A">
      <w:pPr>
        <w:tabs>
          <w:tab w:val="left" w:pos="1440"/>
        </w:tabs>
        <w:spacing w:line="266" w:lineRule="auto"/>
        <w:ind w:right="449"/>
        <w:jc w:val="right"/>
      </w:pPr>
      <w:r w:rsidRPr="0060618A">
        <w:rPr>
          <w:color w:val="666666"/>
          <w:w w:val="105"/>
        </w:rPr>
        <w:t>Questions/</w:t>
      </w:r>
      <w:r w:rsidRPr="0060618A">
        <w:rPr>
          <w:color w:val="666666"/>
          <w:spacing w:val="25"/>
          <w:w w:val="105"/>
        </w:rPr>
        <w:t xml:space="preserve"> </w:t>
      </w:r>
      <w:r w:rsidRPr="0060618A">
        <w:rPr>
          <w:color w:val="666666"/>
          <w:spacing w:val="-2"/>
          <w:w w:val="105"/>
        </w:rPr>
        <w:t>Concerns:</w:t>
      </w:r>
    </w:p>
    <w:p w:rsidR="00824170" w:rsidRDefault="00DC6D3F" w:rsidP="0060618A">
      <w:pPr>
        <w:pStyle w:val="BodyText"/>
        <w:spacing w:before="2"/>
        <w:jc w:val="right"/>
      </w:pPr>
      <w:bookmarkStart w:id="0" w:name="_GoBack"/>
      <w:bookmarkEnd w:id="0"/>
      <w:r>
        <w:t>M</w:t>
      </w:r>
      <w:r>
        <w:t>att Packard, CCEP</w:t>
      </w:r>
      <w:r w:rsidR="0060618A">
        <w:t>,</w:t>
      </w:r>
      <w:r>
        <w:t xml:space="preserve"> Chief</w:t>
      </w:r>
      <w:r w:rsidRPr="0060618A">
        <w:t xml:space="preserve"> </w:t>
      </w:r>
      <w:r>
        <w:t>Compliance</w:t>
      </w:r>
      <w:r w:rsidRPr="0060618A">
        <w:t xml:space="preserve"> </w:t>
      </w:r>
      <w:r>
        <w:t>Officer</w:t>
      </w:r>
    </w:p>
    <w:p w:rsidR="00824170" w:rsidRDefault="00DC6D3F" w:rsidP="0060618A">
      <w:pPr>
        <w:pStyle w:val="BodyText"/>
        <w:spacing w:before="2"/>
        <w:jc w:val="right"/>
      </w:pPr>
      <w:r>
        <w:t>850.857.6070</w:t>
      </w:r>
      <w:r>
        <w:rPr>
          <w:spacing w:val="-11"/>
        </w:rPr>
        <w:t xml:space="preserve"> </w:t>
      </w:r>
      <w:r>
        <w:t>|</w:t>
      </w:r>
      <w:r>
        <w:rPr>
          <w:spacing w:val="-13"/>
        </w:rPr>
        <w:t xml:space="preserve"> </w:t>
      </w:r>
      <w:hyperlink r:id="rId8">
        <w:r>
          <w:rPr>
            <w:color w:val="0563C1"/>
            <w:spacing w:val="-2"/>
            <w:u w:val="single" w:color="0563C1"/>
          </w:rPr>
          <w:t>mpackard@uwf.edu</w:t>
        </w:r>
      </w:hyperlink>
    </w:p>
    <w:sectPr w:rsidR="00824170">
      <w:footerReference w:type="default" r:id="rId9"/>
      <w:type w:val="continuous"/>
      <w:pgSz w:w="12240" w:h="15840"/>
      <w:pgMar w:top="1000" w:right="360" w:bottom="960" w:left="0" w:header="0" w:footer="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D3F" w:rsidRDefault="00DC6D3F">
      <w:r>
        <w:separator/>
      </w:r>
    </w:p>
  </w:endnote>
  <w:endnote w:type="continuationSeparator" w:id="0">
    <w:p w:rsidR="00DC6D3F" w:rsidRDefault="00D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170" w:rsidRDefault="0082417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D3F" w:rsidRDefault="00DC6D3F">
      <w:r>
        <w:separator/>
      </w:r>
    </w:p>
  </w:footnote>
  <w:footnote w:type="continuationSeparator" w:id="0">
    <w:p w:rsidR="00DC6D3F" w:rsidRDefault="00D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1FE"/>
    <w:multiLevelType w:val="hybridMultilevel"/>
    <w:tmpl w:val="A75CE5F2"/>
    <w:lvl w:ilvl="0" w:tplc="FDCADD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C21E56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8F88D7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8A9E511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4" w:tplc="8526977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0674CA8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43464E3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2D62801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8" w:tplc="8BA4AB8C">
      <w:numFmt w:val="bullet"/>
      <w:lvlText w:val="•"/>
      <w:lvlJc w:val="left"/>
      <w:pPr>
        <w:ind w:left="9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4170"/>
    <w:rsid w:val="0060618A"/>
    <w:rsid w:val="00824170"/>
    <w:rsid w:val="00D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D18F1"/>
  <w15:docId w15:val="{E40AE267-2ADD-4210-A886-24963FFE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61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1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61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18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kard@uwf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1664</Characters>
  <Application>Microsoft Office Word</Application>
  <DocSecurity>0</DocSecurity>
  <Lines>13</Lines>
  <Paragraphs>3</Paragraphs>
  <ScaleCrop>false</ScaleCrop>
  <Company>University of West Florida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Doyle Pitts</dc:creator>
  <dc:description/>
  <cp:lastModifiedBy>Matthew Packard</cp:lastModifiedBy>
  <cp:revision>2</cp:revision>
  <dcterms:created xsi:type="dcterms:W3CDTF">2026-02-17T14:52:00Z</dcterms:created>
  <dcterms:modified xsi:type="dcterms:W3CDTF">2026-02-18T14:53:00Z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2026-02-17T00:00:00Z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D:20180926200813</vt:lpwstr>
  </property>
</Properties>
</file>