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  <w:rtl w:val="0"/>
        </w:rPr>
        <w:t xml:space="preserve">53rd Senate Meeting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2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1" name="image2.png"/>
            <a:graphic>
              <a:graphicData uri="http://schemas.openxmlformats.org/drawingml/2006/picture">
                <pic:pic>
                  <pic:nvPicPr>
                    <pic:cNvPr descr="SGA_Primary_2Color_CMY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331.2" w:lineRule="auto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  <w:rtl w:val="0"/>
        </w:rPr>
        <w:t xml:space="preserve">December 4th, 2020</w:t>
      </w:r>
    </w:p>
    <w:p w:rsidR="00000000" w:rsidDel="00000000" w:rsidP="00000000" w:rsidRDefault="00000000" w:rsidRPr="00000000" w14:paraId="00000003">
      <w:pPr>
        <w:spacing w:after="200" w:line="331.2" w:lineRule="auto"/>
        <w:rPr>
          <w:rFonts w:ascii="Trebuchet MS" w:cs="Trebuchet MS" w:eastAsia="Trebuchet MS" w:hAnsi="Trebuchet MS"/>
          <w:sz w:val="32"/>
          <w:szCs w:val="32"/>
          <w:highlight w:val="white"/>
        </w:rPr>
        <w:sectPr>
          <w:pgSz w:h="15840" w:w="12240" w:orient="portrait"/>
          <w:pgMar w:bottom="108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Moment of silence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12/4/2020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11/6/20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11/20/20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Administrative Address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Guest Speaker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Resolution V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Appointments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Ken Friday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Jerrell Lynchard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Executive Addresses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President Gardner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Vice President Larkin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Chief of Staff Gaytan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Treasurer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Cabinet Addresses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Communications Lamungkun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Diversity Initiatives Millor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External Relations Lyons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Legislative Addresses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Senate Pro Tempore Grant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Budget &amp; Allocations Committee Chair Johnson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University Affairs Committee Chair Sands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Student Affairs Committee Chair Hopper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Freshman Committee Chair McKillion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331.2" w:lineRule="auto"/>
        <w:ind w:left="720" w:hanging="360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Adjournment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Committee Report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Closing Announcements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Statements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Final Roll Call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